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C" w:rsidRPr="00152C3C" w:rsidRDefault="00152C3C" w:rsidP="00152C3C">
      <w:pPr>
        <w:adjustRightInd/>
        <w:snapToGrid/>
        <w:spacing w:before="100" w:beforeAutospacing="1" w:after="100" w:afterAutospacing="1" w:line="504" w:lineRule="atLeast"/>
        <w:ind w:firstLine="560"/>
        <w:jc w:val="center"/>
        <w:rPr>
          <w:rFonts w:ascii="Microsoft Yahei" w:eastAsia="宋体" w:hAnsi="Microsoft Yahei" w:cs="宋体"/>
          <w:color w:val="2E2E2E"/>
          <w:sz w:val="28"/>
          <w:szCs w:val="28"/>
        </w:rPr>
      </w:pP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阳光学院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2020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年春季人才招聘计划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129"/>
        <w:gridCol w:w="1997"/>
        <w:gridCol w:w="2791"/>
        <w:gridCol w:w="1397"/>
      </w:tblGrid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岗位名称</w:t>
            </w:r>
          </w:p>
        </w:tc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学历及其他要求</w:t>
            </w:r>
          </w:p>
        </w:tc>
        <w:tc>
          <w:tcPr>
            <w:tcW w:w="4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专业/研究方向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拟招聘人数</w:t>
            </w:r>
          </w:p>
        </w:tc>
      </w:tr>
      <w:tr w:rsidR="00152C3C" w:rsidRPr="00152C3C" w:rsidTr="00152C3C">
        <w:trPr>
          <w:jc w:val="center"/>
        </w:trPr>
        <w:tc>
          <w:tcPr>
            <w:tcW w:w="1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高层次人才</w:t>
            </w:r>
          </w:p>
        </w:tc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3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土木工程</w:t>
            </w:r>
          </w:p>
          <w:p w:rsidR="00152C3C" w:rsidRPr="00152C3C" w:rsidRDefault="00152C3C" w:rsidP="00152C3C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（结构工程、岩土工程）</w:t>
            </w:r>
          </w:p>
        </w:tc>
        <w:tc>
          <w:tcPr>
            <w:tcW w:w="19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电气工程</w:t>
            </w:r>
          </w:p>
          <w:p w:rsidR="00152C3C" w:rsidRPr="00152C3C" w:rsidRDefault="00152C3C" w:rsidP="00152C3C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（建筑电气与智能化方向）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信息与通信工程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控制科学与工程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3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应用经济学（国际经济与贸易、</w:t>
            </w:r>
          </w:p>
          <w:p w:rsidR="00152C3C" w:rsidRPr="00152C3C" w:rsidRDefault="00152C3C" w:rsidP="00152C3C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电子商务、金融学方向）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8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法学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（国际经济法方向）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专业教师</w:t>
            </w:r>
          </w:p>
        </w:tc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1.硕士研究生且有副高级专业技术职称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2.具有两年及以上企业工作经历优先</w:t>
            </w:r>
          </w:p>
        </w:tc>
        <w:tc>
          <w:tcPr>
            <w:tcW w:w="4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电气工程</w:t>
            </w:r>
          </w:p>
          <w:p w:rsidR="00152C3C" w:rsidRPr="00152C3C" w:rsidRDefault="00152C3C" w:rsidP="00152C3C">
            <w:pPr>
              <w:wordWrap w:val="0"/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（建筑电气与智能化方向）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硕士研究生且有两年及以上</w:t>
            </w:r>
            <w:r w:rsidRPr="00152C3C">
              <w:rPr>
                <w:rFonts w:ascii="宋体" w:eastAsia="宋体" w:hAnsi="宋体" w:cs="宋体"/>
                <w:sz w:val="28"/>
                <w:szCs w:val="28"/>
              </w:rPr>
              <w:lastRenderedPageBreak/>
              <w:t>企业工作经历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lastRenderedPageBreak/>
              <w:t>信息与通信工程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1.硕士研究生及以上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2.本科、研究生学习同一专业或相近专业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3.具有两年及以上相关工作经历优先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数字媒体技术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1.硕士研究生及以上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2.本科、研究生学习同一专业或相近专业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3.具有两年及以上相关工作经历优先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设计艺术学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（产品设计方向）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硕士研究生及以上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广播电视艺术学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</w:tr>
      <w:tr w:rsidR="00152C3C" w:rsidRPr="00152C3C" w:rsidTr="00152C3C">
        <w:trPr>
          <w:jc w:val="center"/>
        </w:trPr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1.硕士研究生及以上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2.本科、研究生学习同一专业或相近专业</w:t>
            </w:r>
          </w:p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3.具有两年及以上相关工作</w:t>
            </w:r>
            <w:r w:rsidRPr="00152C3C">
              <w:rPr>
                <w:rFonts w:ascii="宋体" w:eastAsia="宋体" w:hAnsi="宋体" w:cs="宋体"/>
                <w:sz w:val="28"/>
                <w:szCs w:val="28"/>
              </w:rPr>
              <w:lastRenderedPageBreak/>
              <w:t>经历优先</w:t>
            </w:r>
          </w:p>
        </w:tc>
        <w:tc>
          <w:tcPr>
            <w:tcW w:w="3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lastRenderedPageBreak/>
              <w:t>思想政治教育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C3C" w:rsidRPr="00152C3C" w:rsidRDefault="00152C3C" w:rsidP="00152C3C">
            <w:pPr>
              <w:adjustRightInd/>
              <w:snapToGrid/>
              <w:spacing w:after="0" w:line="504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52C3C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</w:tr>
    </w:tbl>
    <w:p w:rsidR="00152C3C" w:rsidRPr="00152C3C" w:rsidRDefault="00152C3C" w:rsidP="00152C3C">
      <w:pPr>
        <w:adjustRightInd/>
        <w:snapToGrid/>
        <w:spacing w:before="100" w:beforeAutospacing="1" w:after="100" w:afterAutospacing="1" w:line="504" w:lineRule="atLeast"/>
        <w:ind w:firstLine="560"/>
        <w:rPr>
          <w:rFonts w:ascii="Microsoft Yahei" w:eastAsia="宋体" w:hAnsi="Microsoft Yahei" w:cs="宋体"/>
          <w:color w:val="2E2E2E"/>
          <w:sz w:val="28"/>
          <w:szCs w:val="28"/>
        </w:rPr>
      </w:pP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lastRenderedPageBreak/>
        <w:t>备注：</w:t>
      </w:r>
    </w:p>
    <w:p w:rsidR="00152C3C" w:rsidRPr="00152C3C" w:rsidRDefault="00152C3C" w:rsidP="00152C3C">
      <w:pPr>
        <w:adjustRightInd/>
        <w:snapToGrid/>
        <w:spacing w:before="100" w:beforeAutospacing="1" w:after="100" w:afterAutospacing="1" w:line="504" w:lineRule="atLeast"/>
        <w:ind w:firstLine="560"/>
        <w:rPr>
          <w:rFonts w:ascii="Microsoft Yahei" w:eastAsia="宋体" w:hAnsi="Microsoft Yahei" w:cs="宋体"/>
          <w:color w:val="2E2E2E"/>
          <w:sz w:val="28"/>
          <w:szCs w:val="28"/>
        </w:rPr>
      </w:pP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1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、以上引进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高层次人才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的学历学位要求均为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博士研究生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，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年龄要求在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55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周岁以下，特别优秀的年龄放宽至不超过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60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周岁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。</w:t>
      </w:r>
    </w:p>
    <w:p w:rsidR="00152C3C" w:rsidRPr="00152C3C" w:rsidRDefault="00152C3C" w:rsidP="00152C3C">
      <w:pPr>
        <w:adjustRightInd/>
        <w:snapToGrid/>
        <w:spacing w:before="100" w:beforeAutospacing="1" w:after="100" w:afterAutospacing="1" w:line="504" w:lineRule="atLeast"/>
        <w:ind w:firstLine="560"/>
        <w:rPr>
          <w:rFonts w:ascii="Microsoft Yahei" w:eastAsia="宋体" w:hAnsi="Microsoft Yahei" w:cs="宋体"/>
          <w:color w:val="2E2E2E"/>
          <w:sz w:val="28"/>
          <w:szCs w:val="28"/>
        </w:rPr>
      </w:pP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2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、硕士研究生应聘教师岗位，为全日制研究生，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具有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2</w:t>
      </w:r>
      <w:r w:rsidRPr="00152C3C">
        <w:rPr>
          <w:rFonts w:ascii="Microsoft Yahei" w:eastAsia="宋体" w:hAnsi="Microsoft Yahei" w:cs="宋体"/>
          <w:b/>
          <w:bCs/>
          <w:color w:val="2E2E2E"/>
          <w:sz w:val="28"/>
        </w:rPr>
        <w:t>年及以上的相关工作经验优先考虑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。</w:t>
      </w:r>
    </w:p>
    <w:p w:rsidR="00152C3C" w:rsidRPr="00152C3C" w:rsidRDefault="00152C3C" w:rsidP="00152C3C">
      <w:pPr>
        <w:adjustRightInd/>
        <w:snapToGrid/>
        <w:spacing w:before="100" w:beforeAutospacing="1" w:after="100" w:afterAutospacing="1" w:line="504" w:lineRule="atLeast"/>
        <w:ind w:firstLine="560"/>
        <w:rPr>
          <w:rFonts w:ascii="Microsoft Yahei" w:eastAsia="宋体" w:hAnsi="Microsoft Yahei" w:cs="宋体"/>
          <w:color w:val="2E2E2E"/>
          <w:sz w:val="28"/>
          <w:szCs w:val="28"/>
        </w:rPr>
      </w:pP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3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、具有高级专业技术职务、十年以上企业行业经历的双师型教师，综合考虑业界影响力，采取一人一议的方式确定薪酬，年薪为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15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万元至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30</w:t>
      </w: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万元（税前）。</w:t>
      </w:r>
    </w:p>
    <w:p w:rsidR="00152C3C" w:rsidRPr="00152C3C" w:rsidRDefault="00152C3C" w:rsidP="00152C3C">
      <w:pPr>
        <w:adjustRightInd/>
        <w:snapToGrid/>
        <w:spacing w:before="100" w:beforeAutospacing="1" w:after="100" w:afterAutospacing="1" w:line="504" w:lineRule="atLeast"/>
        <w:ind w:firstLine="560"/>
        <w:rPr>
          <w:rFonts w:ascii="Microsoft Yahei" w:eastAsia="宋体" w:hAnsi="Microsoft Yahei" w:cs="宋体"/>
          <w:color w:val="2E2E2E"/>
          <w:sz w:val="28"/>
          <w:szCs w:val="28"/>
        </w:rPr>
      </w:pPr>
      <w:r w:rsidRPr="00152C3C">
        <w:rPr>
          <w:rFonts w:ascii="Microsoft Yahei" w:eastAsia="宋体" w:hAnsi="Microsoft Yahei" w:cs="宋体"/>
          <w:color w:val="2E2E2E"/>
          <w:sz w:val="28"/>
          <w:szCs w:val="2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2C3C"/>
    <w:rsid w:val="00152C3C"/>
    <w:rsid w:val="00323B43"/>
    <w:rsid w:val="003D37D8"/>
    <w:rsid w:val="004358AB"/>
    <w:rsid w:val="0064020C"/>
    <w:rsid w:val="00654F59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152C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152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2020-03-30T02:21:00Z</dcterms:created>
  <dcterms:modified xsi:type="dcterms:W3CDTF">2020-03-30T02:23:00Z</dcterms:modified>
</cp:coreProperties>
</file>